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3F6D" w:rsidRDefault="00783F6D" w:rsidP="002D4D2A">
      <w:pPr>
        <w:pStyle w:val="BodyText3"/>
        <w:jc w:val="center"/>
        <w:rPr>
          <w:b/>
          <w:bCs/>
        </w:rPr>
      </w:pPr>
      <w:r>
        <w:rPr>
          <w:b/>
          <w:bCs/>
        </w:rPr>
        <w:t xml:space="preserve">In The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United States</w:t>
          </w:r>
        </w:smartTag>
      </w:smartTag>
      <w:r>
        <w:rPr>
          <w:b/>
          <w:bCs/>
        </w:rPr>
        <w:t xml:space="preserve"> Patent and Trademark Office</w:t>
      </w:r>
    </w:p>
    <w:p w:rsidR="00783F6D" w:rsidRDefault="00783F6D" w:rsidP="002D4D2A">
      <w:pPr>
        <w:pStyle w:val="BodyText3"/>
        <w:jc w:val="center"/>
        <w:rPr>
          <w:b/>
          <w:bCs/>
        </w:rPr>
      </w:pPr>
    </w:p>
    <w:p w:rsidR="00783F6D" w:rsidRDefault="002D4D2A" w:rsidP="002D4D2A">
      <w:pPr>
        <w:pStyle w:val="BodyText3"/>
      </w:pPr>
      <w:r>
        <w:t xml:space="preserve">Application </w:t>
      </w:r>
      <w:r w:rsidR="00783F6D">
        <w:t xml:space="preserve">Number: </w:t>
      </w:r>
      <w:r w:rsidR="00783F6D">
        <w:tab/>
        <w:t>11/564,551</w:t>
      </w:r>
    </w:p>
    <w:p w:rsidR="00783F6D" w:rsidRDefault="00783F6D" w:rsidP="002D4D2A">
      <w:pPr>
        <w:pStyle w:val="BodyText3"/>
      </w:pPr>
      <w:r>
        <w:t>Application Filed:</w:t>
      </w:r>
      <w:r>
        <w:tab/>
      </w:r>
      <w:r>
        <w:tab/>
      </w:r>
      <w:smartTag w:uri="urn:schemas-microsoft-com:office:smarttags" w:element="date">
        <w:smartTagPr>
          <w:attr w:name="Month" w:val="11"/>
          <w:attr w:name="Day" w:val="29"/>
          <w:attr w:name="Year" w:val="2006"/>
        </w:smartTagPr>
        <w:r>
          <w:t>11/29/2006</w:t>
        </w:r>
      </w:smartTag>
    </w:p>
    <w:p w:rsidR="00783F6D" w:rsidRDefault="00783F6D" w:rsidP="002D4D2A">
      <w:pPr>
        <w:pStyle w:val="BodyText3"/>
      </w:pPr>
      <w:r>
        <w:t xml:space="preserve">Applicants: </w:t>
      </w:r>
      <w:r>
        <w:tab/>
      </w:r>
      <w:r>
        <w:tab/>
      </w:r>
      <w:r>
        <w:tab/>
        <w:t>Joseph J. Caldas</w:t>
      </w:r>
    </w:p>
    <w:p w:rsidR="00783F6D" w:rsidRDefault="00783F6D" w:rsidP="002D4D2A">
      <w:pPr>
        <w:pStyle w:val="BodyText3"/>
      </w:pPr>
      <w:r>
        <w:t xml:space="preserve">Title: </w:t>
      </w:r>
      <w:r>
        <w:tab/>
      </w:r>
      <w:r>
        <w:tab/>
      </w:r>
      <w:r>
        <w:tab/>
      </w:r>
      <w:r>
        <w:tab/>
        <w:t>Securities Auction System and Method</w:t>
      </w:r>
    </w:p>
    <w:p w:rsidR="00783F6D" w:rsidRDefault="00783F6D" w:rsidP="002D4D2A">
      <w:pPr>
        <w:pStyle w:val="BodyText3"/>
      </w:pPr>
      <w:r>
        <w:t>Examiner:</w:t>
      </w:r>
      <w:r>
        <w:tab/>
      </w:r>
      <w:r>
        <w:tab/>
      </w:r>
      <w:r>
        <w:tab/>
        <w:t>Bruce I. Ebersman</w:t>
      </w:r>
    </w:p>
    <w:p w:rsidR="00783F6D" w:rsidRDefault="006614FC" w:rsidP="002D4D2A">
      <w:pPr>
        <w:pStyle w:val="BodyText3"/>
      </w:pPr>
      <w:r>
        <w:t>Art Unit:</w:t>
      </w:r>
      <w:r>
        <w:tab/>
      </w:r>
      <w:r>
        <w:tab/>
      </w:r>
      <w:r>
        <w:tab/>
        <w:t>3692</w:t>
      </w:r>
    </w:p>
    <w:p w:rsidR="00783F6D" w:rsidRDefault="00783F6D" w:rsidP="002D4D2A">
      <w:pPr>
        <w:pStyle w:val="BodyText3"/>
        <w:jc w:val="right"/>
      </w:pPr>
      <w:smartTag w:uri="urn:schemas-microsoft-com:office:smarttags" w:element="place">
        <w:smartTag w:uri="urn:schemas-microsoft-com:office:smarttags" w:element="City">
          <w:r>
            <w:t>Watchung</w:t>
          </w:r>
        </w:smartTag>
        <w:r>
          <w:t xml:space="preserve">, </w:t>
        </w:r>
        <w:smartTag w:uri="urn:schemas-microsoft-com:office:smarttags" w:element="State">
          <w:r>
            <w:t>New Jersey</w:t>
          </w:r>
        </w:smartTag>
      </w:smartTag>
    </w:p>
    <w:p w:rsidR="00783F6D" w:rsidRDefault="006614FC" w:rsidP="002D4D2A">
      <w:pPr>
        <w:pStyle w:val="BodyText3"/>
        <w:jc w:val="right"/>
      </w:pPr>
      <w:r>
        <w:t>October 7, 2013</w:t>
      </w:r>
    </w:p>
    <w:p w:rsidR="009B3CDA" w:rsidRDefault="009B3CDA" w:rsidP="002D4D2A">
      <w:pPr>
        <w:pStyle w:val="BodyText3"/>
        <w:jc w:val="center"/>
        <w:rPr>
          <w:b/>
          <w:bCs/>
          <w:u w:val="single"/>
        </w:rPr>
      </w:pPr>
    </w:p>
    <w:p w:rsidR="009B3CDA" w:rsidRDefault="009B3CDA" w:rsidP="002D4D2A">
      <w:pPr>
        <w:pStyle w:val="BodyText3"/>
        <w:jc w:val="center"/>
        <w:rPr>
          <w:b/>
          <w:bCs/>
          <w:u w:val="single"/>
        </w:rPr>
      </w:pPr>
    </w:p>
    <w:p w:rsidR="009B3CDA" w:rsidRDefault="009B3CDA" w:rsidP="002D4D2A">
      <w:pPr>
        <w:pStyle w:val="BodyText3"/>
        <w:jc w:val="center"/>
        <w:rPr>
          <w:b/>
          <w:bCs/>
          <w:u w:val="single"/>
        </w:rPr>
      </w:pPr>
    </w:p>
    <w:p w:rsidR="009B3CDA" w:rsidRDefault="009B3CDA" w:rsidP="002D4D2A">
      <w:pPr>
        <w:pStyle w:val="BodyText3"/>
        <w:jc w:val="center"/>
        <w:rPr>
          <w:b/>
          <w:bCs/>
          <w:u w:val="single"/>
        </w:rPr>
      </w:pPr>
    </w:p>
    <w:p w:rsidR="009B3CDA" w:rsidRDefault="009B3CDA" w:rsidP="002D4D2A">
      <w:pPr>
        <w:pStyle w:val="BodyText3"/>
        <w:jc w:val="center"/>
        <w:rPr>
          <w:b/>
          <w:bCs/>
          <w:u w:val="single"/>
        </w:rPr>
      </w:pPr>
    </w:p>
    <w:p w:rsidR="006D0019" w:rsidRDefault="00783F6D" w:rsidP="002D4D2A">
      <w:pPr>
        <w:pStyle w:val="BodyText3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AMENDMENT </w:t>
      </w:r>
      <w:r w:rsidR="00643A39">
        <w:rPr>
          <w:b/>
          <w:bCs/>
          <w:u w:val="single"/>
        </w:rPr>
        <w:t>G</w:t>
      </w:r>
    </w:p>
    <w:p w:rsidR="00783F6D" w:rsidRDefault="00783F6D" w:rsidP="002D4D2A">
      <w:pPr>
        <w:pStyle w:val="BodyText3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6D0019">
        <w:rPr>
          <w:b/>
          <w:bCs/>
          <w:u w:val="single"/>
        </w:rPr>
        <w:t>FILED WITH REQUEST FOR CONTINUED EXAMINATION</w:t>
      </w:r>
    </w:p>
    <w:p w:rsidR="00783F6D" w:rsidRDefault="00783F6D" w:rsidP="002D4D2A">
      <w:pPr>
        <w:pStyle w:val="BodyText3"/>
      </w:pPr>
      <w:r>
        <w:t>Commissioner for Patents</w:t>
      </w:r>
    </w:p>
    <w:p w:rsidR="00783F6D" w:rsidRDefault="00783F6D" w:rsidP="002D4D2A">
      <w:pPr>
        <w:pStyle w:val="BodyText3"/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1450</w:t>
        </w:r>
      </w:smartTag>
    </w:p>
    <w:p w:rsidR="00783F6D" w:rsidRDefault="00783F6D" w:rsidP="002D4D2A">
      <w:pPr>
        <w:pStyle w:val="BodyText3"/>
      </w:pPr>
      <w:smartTag w:uri="urn:schemas-microsoft-com:office:smarttags" w:element="place">
        <w:smartTag w:uri="urn:schemas-microsoft-com:office:smarttags" w:element="City">
          <w:r>
            <w:t>Alexandria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  <w:r>
          <w:t xml:space="preserve"> </w:t>
        </w:r>
        <w:smartTag w:uri="urn:schemas-microsoft-com:office:smarttags" w:element="PostalCode">
          <w:r>
            <w:t>22313-1450</w:t>
          </w:r>
        </w:smartTag>
      </w:smartTag>
    </w:p>
    <w:p w:rsidR="00783F6D" w:rsidRDefault="00783F6D" w:rsidP="002D4D2A">
      <w:pPr>
        <w:pStyle w:val="BodyText3"/>
      </w:pPr>
      <w:r>
        <w:t>Sir:</w:t>
      </w:r>
    </w:p>
    <w:p w:rsidR="00783F6D" w:rsidRDefault="00783F6D" w:rsidP="002D4D2A">
      <w:pPr>
        <w:pStyle w:val="BodyText3"/>
      </w:pPr>
      <w:r>
        <w:t xml:space="preserve">In response to the </w:t>
      </w:r>
      <w:r w:rsidR="00FE3191">
        <w:t>Advisory</w:t>
      </w:r>
      <w:r>
        <w:t xml:space="preserve"> Action mailed </w:t>
      </w:r>
      <w:r w:rsidR="006614FC">
        <w:rPr>
          <w:b/>
        </w:rPr>
        <w:t>October 7, 2013</w:t>
      </w:r>
      <w:r>
        <w:t xml:space="preserve">, the applicant </w:t>
      </w:r>
      <w:r w:rsidR="00FF1E7A">
        <w:t xml:space="preserve">has filed a request for continued examination and submitted the appropriate fee and would like to </w:t>
      </w:r>
      <w:r>
        <w:t xml:space="preserve">requests that </w:t>
      </w:r>
      <w:r w:rsidR="0083426C">
        <w:t xml:space="preserve">the application be amended as followed; </w:t>
      </w:r>
    </w:p>
    <w:p w:rsidR="00783F6D" w:rsidRDefault="00783F6D" w:rsidP="002D4D2A">
      <w:pPr>
        <w:pStyle w:val="BodyText3"/>
        <w:ind w:left="720"/>
      </w:pPr>
      <w:r>
        <w:t>CLAIMS: Amendments to the Claims begin on page 2 of this amendment.</w:t>
      </w:r>
    </w:p>
    <w:p w:rsidR="00783F6D" w:rsidRDefault="00783F6D" w:rsidP="002D4D2A">
      <w:pPr>
        <w:pStyle w:val="BodyText3"/>
        <w:ind w:left="720"/>
      </w:pPr>
      <w:r>
        <w:t xml:space="preserve">REMARKS: Remarks begin on page </w:t>
      </w:r>
      <w:r w:rsidR="00FA7400">
        <w:t>7</w:t>
      </w:r>
      <w:r>
        <w:t xml:space="preserve"> of this amendment.</w:t>
      </w:r>
    </w:p>
    <w:p w:rsidR="006614FC" w:rsidRDefault="006614FC" w:rsidP="002D4D2A">
      <w:pPr>
        <w:pStyle w:val="BodyText3"/>
        <w:jc w:val="center"/>
        <w:rPr>
          <w:b/>
          <w:bCs/>
          <w:i/>
          <w:iCs/>
        </w:rPr>
      </w:pPr>
    </w:p>
    <w:p w:rsidR="002D4D2A" w:rsidRDefault="002D4D2A" w:rsidP="002D4D2A">
      <w:pPr>
        <w:pStyle w:val="BodyText3"/>
        <w:jc w:val="center"/>
        <w:rPr>
          <w:b/>
          <w:bCs/>
          <w:i/>
          <w:iCs/>
        </w:rPr>
      </w:pPr>
    </w:p>
    <w:p w:rsidR="002D4D2A" w:rsidRDefault="002D4D2A" w:rsidP="002D4D2A">
      <w:pPr>
        <w:pStyle w:val="BodyText3"/>
        <w:jc w:val="center"/>
        <w:rPr>
          <w:b/>
          <w:bCs/>
          <w:i/>
          <w:iCs/>
        </w:rPr>
      </w:pPr>
    </w:p>
    <w:p w:rsidR="00783F6D" w:rsidRPr="00FA7400" w:rsidRDefault="00783F6D">
      <w:pPr>
        <w:pStyle w:val="BodyText3"/>
        <w:spacing w:line="480" w:lineRule="auto"/>
        <w:jc w:val="center"/>
        <w:rPr>
          <w:b/>
          <w:bCs/>
          <w:i/>
          <w:iCs/>
          <w:u w:val="single"/>
        </w:rPr>
      </w:pPr>
      <w:r w:rsidRPr="00FA7400">
        <w:rPr>
          <w:b/>
          <w:bCs/>
          <w:i/>
          <w:iCs/>
          <w:u w:val="single"/>
        </w:rPr>
        <w:lastRenderedPageBreak/>
        <w:t>Claims</w:t>
      </w:r>
    </w:p>
    <w:p w:rsidR="00FA7400" w:rsidRDefault="00FA7400" w:rsidP="00FA7400">
      <w:pPr>
        <w:pStyle w:val="ListParagraph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Claims 1-37 (CANCELED)</w:t>
      </w:r>
    </w:p>
    <w:p w:rsidR="00FA7400" w:rsidRDefault="00FA7400" w:rsidP="00FA7400">
      <w:pPr>
        <w:spacing w:line="360" w:lineRule="auto"/>
        <w:rPr>
          <w:rFonts w:cs="Arial"/>
        </w:rPr>
      </w:pPr>
    </w:p>
    <w:p w:rsidR="00FA7400" w:rsidRPr="00103378" w:rsidRDefault="00FA7400" w:rsidP="00FA7400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>(NEW) A computer implemented method of conducting a secondary market securities auction, the method comprising:</w:t>
      </w:r>
    </w:p>
    <w:p w:rsidR="00FA7400" w:rsidRPr="00103378" w:rsidRDefault="00FA7400" w:rsidP="00FA7400">
      <w:pPr>
        <w:spacing w:line="360" w:lineRule="auto"/>
        <w:ind w:left="720"/>
        <w:rPr>
          <w:rFonts w:cs="Arial"/>
        </w:rPr>
      </w:pPr>
      <w:r w:rsidRPr="00103378">
        <w:rPr>
          <w:rFonts w:cs="Arial"/>
        </w:rPr>
        <w:t xml:space="preserve">providing, a computerized system comprised of: (a) a plurality of client computers; (b) at least one host computer; (c) standard network apparatus; (d) at least one database; (e) a computer software application, for instructing </w:t>
      </w:r>
      <w:r>
        <w:rPr>
          <w:rFonts w:cs="Arial"/>
        </w:rPr>
        <w:t>said</w:t>
      </w:r>
      <w:r w:rsidRPr="00103378">
        <w:rPr>
          <w:rFonts w:cs="Arial"/>
        </w:rPr>
        <w:t xml:space="preserve"> computerized system to perform the method, that is coded in a browser-supported programming language combined with a browser-rendered markup language and reliant on a common web browser to render </w:t>
      </w:r>
      <w:r>
        <w:rPr>
          <w:rFonts w:cs="Arial"/>
        </w:rPr>
        <w:t>said</w:t>
      </w:r>
      <w:r w:rsidRPr="00103378">
        <w:rPr>
          <w:rFonts w:cs="Arial"/>
        </w:rPr>
        <w:t xml:space="preserve"> computer software application executable;</w:t>
      </w:r>
    </w:p>
    <w:p w:rsidR="00FA7400" w:rsidRPr="00103378" w:rsidRDefault="00FA7400" w:rsidP="00FA7400">
      <w:pPr>
        <w:spacing w:line="360" w:lineRule="auto"/>
        <w:ind w:left="720"/>
        <w:rPr>
          <w:rFonts w:cs="Arial"/>
        </w:rPr>
      </w:pPr>
    </w:p>
    <w:p w:rsidR="00FA7400" w:rsidRPr="00103378" w:rsidRDefault="00FA7400" w:rsidP="00FA7400">
      <w:pPr>
        <w:spacing w:line="360" w:lineRule="auto"/>
        <w:ind w:left="720"/>
        <w:rPr>
          <w:rFonts w:cs="Arial"/>
        </w:rPr>
      </w:pPr>
      <w:r w:rsidRPr="00103378">
        <w:rPr>
          <w:rFonts w:cs="Arial"/>
        </w:rPr>
        <w:t xml:space="preserve">providing, a plurality of graphic user interfaces for </w:t>
      </w:r>
      <w:r>
        <w:rPr>
          <w:rFonts w:cs="Arial"/>
        </w:rPr>
        <w:t>a plurality of participants</w:t>
      </w:r>
      <w:r w:rsidRPr="00103378">
        <w:rPr>
          <w:rFonts w:cs="Arial"/>
        </w:rPr>
        <w:t xml:space="preserve"> in </w:t>
      </w:r>
      <w:r>
        <w:rPr>
          <w:rFonts w:cs="Arial"/>
        </w:rPr>
        <w:t>said</w:t>
      </w:r>
      <w:r w:rsidRPr="00103378">
        <w:rPr>
          <w:rFonts w:cs="Arial"/>
        </w:rPr>
        <w:t xml:space="preserve"> secondary market securities auction to interact with </w:t>
      </w:r>
      <w:r>
        <w:rPr>
          <w:rFonts w:cs="Arial"/>
        </w:rPr>
        <w:t>said</w:t>
      </w:r>
      <w:r w:rsidRPr="00103378">
        <w:rPr>
          <w:rFonts w:cs="Arial"/>
        </w:rPr>
        <w:t xml:space="preserve"> computer software application, wherein </w:t>
      </w:r>
      <w:r>
        <w:rPr>
          <w:rFonts w:cs="Arial"/>
        </w:rPr>
        <w:t>the plurality of participants</w:t>
      </w:r>
      <w:r w:rsidRPr="00103378">
        <w:rPr>
          <w:rFonts w:cs="Arial"/>
        </w:rPr>
        <w:t xml:space="preserve"> </w:t>
      </w:r>
      <w:r>
        <w:rPr>
          <w:rFonts w:cs="Arial"/>
        </w:rPr>
        <w:t>comprises</w:t>
      </w:r>
      <w:r w:rsidRPr="00103378">
        <w:rPr>
          <w:rFonts w:cs="Arial"/>
        </w:rPr>
        <w:t xml:space="preserve">: bidders, sellers and observers of </w:t>
      </w:r>
      <w:r>
        <w:rPr>
          <w:rFonts w:cs="Arial"/>
        </w:rPr>
        <w:t>said</w:t>
      </w:r>
      <w:r w:rsidRPr="00103378">
        <w:rPr>
          <w:rFonts w:cs="Arial"/>
        </w:rPr>
        <w:t xml:space="preserve"> secondary market securities auction;</w:t>
      </w:r>
    </w:p>
    <w:p w:rsidR="00FA7400" w:rsidRPr="00103378" w:rsidRDefault="00FA7400" w:rsidP="00FA7400">
      <w:pPr>
        <w:spacing w:line="360" w:lineRule="auto"/>
        <w:ind w:left="720"/>
        <w:rPr>
          <w:rFonts w:cs="Arial"/>
        </w:rPr>
      </w:pPr>
    </w:p>
    <w:p w:rsidR="00FA7400" w:rsidRDefault="00FA7400" w:rsidP="002D4D2A">
      <w:pPr>
        <w:spacing w:line="360" w:lineRule="auto"/>
        <w:ind w:left="720"/>
        <w:rPr>
          <w:rFonts w:cs="Arial"/>
        </w:rPr>
      </w:pPr>
      <w:r w:rsidRPr="00103378">
        <w:rPr>
          <w:rFonts w:cs="Arial"/>
        </w:rPr>
        <w:t xml:space="preserve">providing, an auction detail graphic user interface comprising: (a) a list of bids from </w:t>
      </w:r>
      <w:r>
        <w:rPr>
          <w:rFonts w:cs="Arial"/>
        </w:rPr>
        <w:t>the plurality of participants</w:t>
      </w:r>
      <w:r w:rsidRPr="00103378">
        <w:rPr>
          <w:rFonts w:cs="Arial"/>
        </w:rPr>
        <w:t xml:space="preserve">  to purchase  an individual specific lot of secondary market securities for which bids are sought by a potential seller thereof; (b) a time which bids are due; (c) a time bids are good until; (d) a description of the individual specific lot of secondary market securities for which bids are sought by </w:t>
      </w:r>
      <w:r>
        <w:rPr>
          <w:rFonts w:cs="Arial"/>
        </w:rPr>
        <w:t>the potential seller thereof</w:t>
      </w:r>
      <w:r w:rsidRPr="00103378">
        <w:rPr>
          <w:rFonts w:cs="Arial"/>
        </w:rPr>
        <w:t xml:space="preserve"> ; (b) a field indicating a current status of </w:t>
      </w:r>
      <w:r>
        <w:rPr>
          <w:rFonts w:cs="Arial"/>
        </w:rPr>
        <w:t>said</w:t>
      </w:r>
      <w:r w:rsidRPr="00103378">
        <w:rPr>
          <w:rFonts w:cs="Arial"/>
        </w:rPr>
        <w:t xml:space="preserve"> secondary market securities auction; (e) links to calculations; (f) links to historical data; (g) forms for submitting bids; (h) forms for selling orders; wherein substantially all information relevant to </w:t>
      </w:r>
      <w:r>
        <w:rPr>
          <w:rFonts w:cs="Arial"/>
        </w:rPr>
        <w:t>said</w:t>
      </w:r>
      <w:r w:rsidRPr="00103378">
        <w:rPr>
          <w:rFonts w:cs="Arial"/>
        </w:rPr>
        <w:t xml:space="preserve"> secondary market securities auction and forms to accomplish any of a permissible action by </w:t>
      </w:r>
      <w:r>
        <w:rPr>
          <w:rFonts w:cs="Arial"/>
        </w:rPr>
        <w:t>the participants</w:t>
      </w:r>
      <w:r w:rsidRPr="00103378">
        <w:rPr>
          <w:rFonts w:cs="Arial"/>
        </w:rPr>
        <w:t xml:space="preserve"> are available;</w:t>
      </w: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</w:p>
    <w:p w:rsidR="00FA7400" w:rsidRDefault="00FA7400" w:rsidP="002D4D2A">
      <w:pPr>
        <w:spacing w:line="360" w:lineRule="auto"/>
        <w:ind w:left="720"/>
        <w:rPr>
          <w:rFonts w:cs="Arial"/>
        </w:rPr>
      </w:pPr>
      <w:r w:rsidRPr="00103378">
        <w:rPr>
          <w:rFonts w:cs="Arial"/>
        </w:rPr>
        <w:t xml:space="preserve">submitting into a database, using at least one of </w:t>
      </w:r>
      <w:r>
        <w:rPr>
          <w:rFonts w:cs="Arial"/>
        </w:rPr>
        <w:t>said</w:t>
      </w:r>
      <w:r w:rsidRPr="00103378">
        <w:rPr>
          <w:rFonts w:cs="Arial"/>
        </w:rPr>
        <w:t xml:space="preserve"> plurality of client computers to access a first graphic user interface of </w:t>
      </w:r>
      <w:r>
        <w:rPr>
          <w:rFonts w:cs="Arial"/>
        </w:rPr>
        <w:t>said</w:t>
      </w:r>
      <w:r w:rsidRPr="00103378">
        <w:rPr>
          <w:rFonts w:cs="Arial"/>
        </w:rPr>
        <w:t xml:space="preserve"> computer software application, </w:t>
      </w:r>
      <w:r>
        <w:rPr>
          <w:rFonts w:cs="Arial"/>
        </w:rPr>
        <w:t>the</w:t>
      </w:r>
      <w:r w:rsidRPr="00103378">
        <w:rPr>
          <w:rFonts w:cs="Arial"/>
        </w:rPr>
        <w:t xml:space="preserve"> individual specific lots of secondary market securities for which bids are sought by a potential seller thereof;</w:t>
      </w: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  <w:r w:rsidRPr="00103378">
        <w:rPr>
          <w:rFonts w:cs="Arial"/>
        </w:rPr>
        <w:t xml:space="preserve">performing a search of said database, using at least one of </w:t>
      </w:r>
      <w:r>
        <w:rPr>
          <w:rFonts w:cs="Arial"/>
        </w:rPr>
        <w:t>said</w:t>
      </w:r>
      <w:r w:rsidRPr="00103378">
        <w:rPr>
          <w:rFonts w:cs="Arial"/>
        </w:rPr>
        <w:t xml:space="preserve"> plurality of client computers to access a second graphic user interface, wherein criteria  is selected by </w:t>
      </w:r>
      <w:r>
        <w:rPr>
          <w:rFonts w:cs="Arial"/>
        </w:rPr>
        <w:t>at least one of the plurality of participants</w:t>
      </w:r>
      <w:r w:rsidRPr="00103378">
        <w:rPr>
          <w:rFonts w:cs="Arial"/>
        </w:rPr>
        <w:t xml:space="preserve"> to identify the individual specific lots of outstanding secondary market securities to trade; </w:t>
      </w: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  <w:r w:rsidRPr="00103378">
        <w:rPr>
          <w:rFonts w:cs="Arial"/>
        </w:rPr>
        <w:t xml:space="preserve">displaying results of </w:t>
      </w:r>
      <w:r>
        <w:rPr>
          <w:rFonts w:cs="Arial"/>
        </w:rPr>
        <w:t>the database search</w:t>
      </w:r>
      <w:r w:rsidRPr="00103378">
        <w:rPr>
          <w:rFonts w:cs="Arial"/>
        </w:rPr>
        <w:t xml:space="preserve">, using at least one of </w:t>
      </w:r>
      <w:r>
        <w:rPr>
          <w:rFonts w:cs="Arial"/>
        </w:rPr>
        <w:t>said</w:t>
      </w:r>
      <w:r w:rsidRPr="00103378">
        <w:rPr>
          <w:rFonts w:cs="Arial"/>
        </w:rPr>
        <w:t xml:space="preserve"> plurality of client computers on a third graphic user interface of </w:t>
      </w:r>
      <w:r>
        <w:rPr>
          <w:rFonts w:cs="Arial"/>
        </w:rPr>
        <w:t>said</w:t>
      </w:r>
      <w:r w:rsidRPr="00103378">
        <w:rPr>
          <w:rFonts w:cs="Arial"/>
        </w:rPr>
        <w:t xml:space="preserve"> computer software application;</w:t>
      </w: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  <w:r w:rsidRPr="00103378">
        <w:rPr>
          <w:rFonts w:cs="Arial"/>
        </w:rPr>
        <w:t xml:space="preserve">submitting bids  for the individual specific lots of outstanding secondary market securities, using at least one of </w:t>
      </w:r>
      <w:r>
        <w:rPr>
          <w:rFonts w:cs="Arial"/>
        </w:rPr>
        <w:t>said</w:t>
      </w:r>
      <w:r w:rsidRPr="00103378">
        <w:rPr>
          <w:rFonts w:cs="Arial"/>
        </w:rPr>
        <w:t xml:space="preserve"> plurality of client computers to access </w:t>
      </w:r>
      <w:r>
        <w:rPr>
          <w:rFonts w:cs="Arial"/>
        </w:rPr>
        <w:t>said</w:t>
      </w:r>
      <w:r w:rsidRPr="00103378">
        <w:rPr>
          <w:rFonts w:cs="Arial"/>
        </w:rPr>
        <w:t xml:space="preserve"> auction detail graphic user interface;</w:t>
      </w: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  <w:r w:rsidRPr="00103378">
        <w:rPr>
          <w:rFonts w:cs="Arial"/>
        </w:rPr>
        <w:t xml:space="preserve">programmatically displaying immediately upon entry and dynamically updating for display on </w:t>
      </w:r>
      <w:r>
        <w:rPr>
          <w:rFonts w:cs="Arial"/>
        </w:rPr>
        <w:t>said</w:t>
      </w:r>
      <w:r w:rsidRPr="00103378">
        <w:rPr>
          <w:rFonts w:cs="Arial"/>
        </w:rPr>
        <w:t xml:space="preserve"> auction detail graphic user interface, </w:t>
      </w:r>
      <w:r>
        <w:rPr>
          <w:rFonts w:cs="Arial"/>
        </w:rPr>
        <w:t xml:space="preserve">the bids </w:t>
      </w:r>
      <w:r w:rsidRPr="00103378">
        <w:rPr>
          <w:rFonts w:cs="Arial"/>
        </w:rPr>
        <w:t xml:space="preserve">for the individual specific lots of outstanding secondary market securities, such that </w:t>
      </w:r>
      <w:r>
        <w:rPr>
          <w:rFonts w:cs="Arial"/>
        </w:rPr>
        <w:t xml:space="preserve">the bids </w:t>
      </w:r>
      <w:r w:rsidRPr="00103378">
        <w:rPr>
          <w:rFonts w:cs="Arial"/>
        </w:rPr>
        <w:t xml:space="preserve">including a bid price thereof are available to be viewed by </w:t>
      </w:r>
      <w:r>
        <w:rPr>
          <w:rFonts w:cs="Arial"/>
        </w:rPr>
        <w:t>the participant</w:t>
      </w:r>
      <w:r w:rsidRPr="00103378">
        <w:rPr>
          <w:rFonts w:cs="Arial"/>
        </w:rPr>
        <w:t xml:space="preserve"> immediately upon entry of </w:t>
      </w:r>
      <w:r>
        <w:rPr>
          <w:rFonts w:cs="Arial"/>
        </w:rPr>
        <w:t xml:space="preserve">the bids </w:t>
      </w:r>
      <w:r w:rsidRPr="00103378">
        <w:rPr>
          <w:rFonts w:cs="Arial"/>
        </w:rPr>
        <w:t xml:space="preserve">and throughout </w:t>
      </w:r>
      <w:r>
        <w:rPr>
          <w:rFonts w:cs="Arial"/>
        </w:rPr>
        <w:t>said</w:t>
      </w:r>
      <w:r w:rsidRPr="00103378">
        <w:rPr>
          <w:rFonts w:cs="Arial"/>
        </w:rPr>
        <w:t xml:space="preserve"> secondary market securities auction;</w:t>
      </w: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  <w:r w:rsidRPr="00103378">
        <w:rPr>
          <w:rFonts w:cs="Arial"/>
        </w:rPr>
        <w:t xml:space="preserve">executing a trade at </w:t>
      </w:r>
      <w:r>
        <w:rPr>
          <w:rFonts w:cs="Arial"/>
        </w:rPr>
        <w:t xml:space="preserve">the potential seller’s </w:t>
      </w:r>
      <w:r w:rsidRPr="00103378">
        <w:rPr>
          <w:rFonts w:cs="Arial"/>
        </w:rPr>
        <w:t xml:space="preserve">discretion on </w:t>
      </w:r>
      <w:r>
        <w:rPr>
          <w:rFonts w:cs="Arial"/>
        </w:rPr>
        <w:t>said</w:t>
      </w:r>
      <w:r w:rsidRPr="00103378">
        <w:rPr>
          <w:rFonts w:cs="Arial"/>
        </w:rPr>
        <w:t xml:space="preserve"> auction detail graphic user interface, accessed using at least one of </w:t>
      </w:r>
      <w:r>
        <w:rPr>
          <w:rFonts w:cs="Arial"/>
        </w:rPr>
        <w:t>said</w:t>
      </w:r>
      <w:r w:rsidRPr="00103378">
        <w:rPr>
          <w:rFonts w:cs="Arial"/>
        </w:rPr>
        <w:t xml:space="preserve"> plurality of client computers, for the individual specific lot of outstanding secondary market securities within a </w:t>
      </w:r>
      <w:r w:rsidRPr="00103378">
        <w:rPr>
          <w:rFonts w:cs="Arial"/>
        </w:rPr>
        <w:lastRenderedPageBreak/>
        <w:t xml:space="preserve">predetermined time frame, wherein data pertinent to </w:t>
      </w:r>
      <w:r>
        <w:rPr>
          <w:rFonts w:cs="Arial"/>
        </w:rPr>
        <w:t>the trade</w:t>
      </w:r>
      <w:r w:rsidRPr="00103378">
        <w:rPr>
          <w:rFonts w:cs="Arial"/>
        </w:rPr>
        <w:t xml:space="preserve"> of the individual specific lot of outstanding secondary market securities is dynamically updated and displayed on </w:t>
      </w:r>
      <w:r>
        <w:rPr>
          <w:rFonts w:cs="Arial"/>
        </w:rPr>
        <w:t>said</w:t>
      </w:r>
      <w:r w:rsidRPr="00103378">
        <w:rPr>
          <w:rFonts w:cs="Arial"/>
        </w:rPr>
        <w:t xml:space="preserve"> auction detail graphic user interface;</w:t>
      </w: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</w:p>
    <w:p w:rsidR="00FA7400" w:rsidRDefault="00FA7400" w:rsidP="002D4D2A">
      <w:pPr>
        <w:spacing w:line="360" w:lineRule="auto"/>
        <w:ind w:left="720"/>
        <w:rPr>
          <w:rFonts w:cs="Arial"/>
        </w:rPr>
      </w:pPr>
      <w:r w:rsidRPr="00103378">
        <w:rPr>
          <w:rFonts w:cs="Arial"/>
        </w:rPr>
        <w:t xml:space="preserve">providing real-time dynamic updating, on </w:t>
      </w:r>
      <w:r>
        <w:rPr>
          <w:rFonts w:cs="Arial"/>
        </w:rPr>
        <w:t>said</w:t>
      </w:r>
      <w:r w:rsidRPr="00103378">
        <w:rPr>
          <w:rFonts w:cs="Arial"/>
        </w:rPr>
        <w:t xml:space="preserve"> auction detail graphic user interface, of information pertaining to </w:t>
      </w:r>
      <w:r>
        <w:rPr>
          <w:rFonts w:cs="Arial"/>
        </w:rPr>
        <w:t>said</w:t>
      </w:r>
      <w:r w:rsidRPr="00103378">
        <w:rPr>
          <w:rFonts w:cs="Arial"/>
        </w:rPr>
        <w:t xml:space="preserve"> secondary market securities auction whereby </w:t>
      </w:r>
      <w:r>
        <w:rPr>
          <w:rFonts w:cs="Arial"/>
        </w:rPr>
        <w:t>the participants</w:t>
      </w:r>
      <w:r w:rsidRPr="00103378">
        <w:rPr>
          <w:rFonts w:cs="Arial"/>
        </w:rPr>
        <w:t xml:space="preserve"> have equal access </w:t>
      </w:r>
      <w:r>
        <w:rPr>
          <w:rFonts w:cs="Arial"/>
        </w:rPr>
        <w:t xml:space="preserve"> </w:t>
      </w:r>
      <w:r w:rsidRPr="00103378">
        <w:rPr>
          <w:rFonts w:cs="Arial"/>
        </w:rPr>
        <w:t xml:space="preserve">to and knowledge of </w:t>
      </w:r>
      <w:r>
        <w:rPr>
          <w:rFonts w:cs="Arial"/>
        </w:rPr>
        <w:t xml:space="preserve">the bids </w:t>
      </w:r>
      <w:r w:rsidRPr="00103378">
        <w:rPr>
          <w:rFonts w:cs="Arial"/>
        </w:rPr>
        <w:t xml:space="preserve">and </w:t>
      </w:r>
      <w:r>
        <w:rPr>
          <w:rFonts w:cs="Arial"/>
        </w:rPr>
        <w:t>said</w:t>
      </w:r>
      <w:r w:rsidRPr="00103378">
        <w:rPr>
          <w:rFonts w:cs="Arial"/>
        </w:rPr>
        <w:t xml:space="preserve"> current status of </w:t>
      </w:r>
      <w:r>
        <w:rPr>
          <w:rFonts w:cs="Arial"/>
        </w:rPr>
        <w:t>said</w:t>
      </w:r>
      <w:r w:rsidRPr="00103378">
        <w:rPr>
          <w:rFonts w:cs="Arial"/>
        </w:rPr>
        <w:t xml:space="preserve"> secondary market securities auction to enable informed trading decisions.</w:t>
      </w:r>
    </w:p>
    <w:p w:rsidR="00FA7400" w:rsidRPr="00103378" w:rsidRDefault="00FA7400" w:rsidP="002D4D2A">
      <w:pPr>
        <w:spacing w:line="360" w:lineRule="auto"/>
        <w:ind w:left="720"/>
        <w:rPr>
          <w:rFonts w:cs="Arial"/>
        </w:rPr>
      </w:pPr>
    </w:p>
    <w:p w:rsidR="00FA7400" w:rsidRPr="00103378" w:rsidRDefault="00FA7400" w:rsidP="002D4D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38, further comprising: 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providing a program alert graphic user interface of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computer software application wherein criteria are selected for a notification of activity pertaining to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 and overall market activity.</w:t>
      </w:r>
    </w:p>
    <w:p w:rsidR="00FA7400" w:rsidRPr="00103378" w:rsidRDefault="00FA7400" w:rsidP="002D4D2A">
      <w:pPr>
        <w:pStyle w:val="ListParagraph"/>
        <w:spacing w:line="360" w:lineRule="auto"/>
        <w:ind w:left="1080"/>
        <w:rPr>
          <w:rFonts w:ascii="Arial" w:hAnsi="Arial" w:cs="Arial"/>
        </w:rPr>
      </w:pPr>
    </w:p>
    <w:p w:rsidR="00FA7400" w:rsidRPr="00103378" w:rsidRDefault="00FA7400" w:rsidP="002D4D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39, further comprising: 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</w:t>
      </w:r>
      <w:r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notification of activity pertaining to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 and overall market activity in an alert graphic user interface of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computer software application.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FA7400" w:rsidRPr="00103378" w:rsidRDefault="00FA7400" w:rsidP="002D4D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39, further comprising: 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a system generated notification of activity pertaining to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 and overall market activity in said alert graphic user interface of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computer software application.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FA7400" w:rsidRPr="00103378" w:rsidRDefault="00FA7400" w:rsidP="002D4D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38, further comprising: 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implementing a predetermined decision to automatically increase a bid for the individual specific lot of secondary market securities, by a first participant using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 interface to enter a starting bid and a maximum bid for </w:t>
      </w:r>
      <w:r w:rsidRPr="00103378">
        <w:rPr>
          <w:rFonts w:ascii="Arial" w:hAnsi="Arial" w:cs="Arial"/>
        </w:rPr>
        <w:lastRenderedPageBreak/>
        <w:t xml:space="preserve">the individual specific lot of secondary market securities where </w:t>
      </w:r>
      <w:r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starting bid is greater than a current high bid plus a predetermined minimum increment wherein </w:t>
      </w:r>
      <w:r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maximum bid is not disclosed to any </w:t>
      </w:r>
      <w:r>
        <w:rPr>
          <w:rFonts w:ascii="Arial" w:hAnsi="Arial" w:cs="Arial"/>
        </w:rPr>
        <w:t>of the plurality of participants</w:t>
      </w:r>
      <w:r w:rsidRPr="00103378">
        <w:rPr>
          <w:rFonts w:ascii="Arial" w:hAnsi="Arial" w:cs="Arial"/>
        </w:rPr>
        <w:t xml:space="preserve">. 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FA7400" w:rsidRPr="00C71737" w:rsidRDefault="00FA7400" w:rsidP="002D4D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C71737">
        <w:rPr>
          <w:rFonts w:ascii="Arial" w:hAnsi="Arial" w:cs="Arial"/>
        </w:rPr>
        <w:t>(NEW) The method according to Claim 42, further comprising: systematically increasing the bid by said predetermined minimum increment up to the maximum bid, based on market competition from a bid submitted by at least a second participant.</w:t>
      </w:r>
      <w:r w:rsidRPr="00C71737" w:rsidDel="00396226">
        <w:rPr>
          <w:rFonts w:ascii="Arial" w:hAnsi="Arial" w:cs="Arial"/>
        </w:rPr>
        <w:t xml:space="preserve"> </w:t>
      </w:r>
    </w:p>
    <w:p w:rsidR="00FA7400" w:rsidRPr="00103378" w:rsidRDefault="00FA7400" w:rsidP="002D4D2A">
      <w:pPr>
        <w:pStyle w:val="ListParagraph"/>
        <w:spacing w:line="360" w:lineRule="auto"/>
        <w:rPr>
          <w:rFonts w:ascii="Arial" w:hAnsi="Arial" w:cs="Arial"/>
        </w:rPr>
      </w:pPr>
    </w:p>
    <w:p w:rsidR="00FA7400" w:rsidRPr="00103378" w:rsidRDefault="00FA7400" w:rsidP="002D4D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(NEW)The method according to Claim 38, further comprising: </w:t>
      </w:r>
    </w:p>
    <w:p w:rsidR="00FA7400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on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 interface at least one of an independent evaluation.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FA7400" w:rsidRPr="00103378" w:rsidRDefault="00FA7400" w:rsidP="002D4D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(NEW)The method according to Claim 38, further comprising: 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a spread to an indicative yield curve for </w:t>
      </w:r>
      <w:r>
        <w:rPr>
          <w:rFonts w:ascii="Arial" w:hAnsi="Arial" w:cs="Arial"/>
        </w:rPr>
        <w:t xml:space="preserve">the bids </w:t>
      </w:r>
      <w:r w:rsidRPr="00103378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 on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 interface.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FA7400" w:rsidRPr="00103378" w:rsidRDefault="00FA7400" w:rsidP="002D4D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38, further comprising: 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storing, in said database, </w:t>
      </w:r>
      <w:r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criteria used by </w:t>
      </w:r>
      <w:r>
        <w:rPr>
          <w:rFonts w:ascii="Arial" w:hAnsi="Arial" w:cs="Arial"/>
        </w:rPr>
        <w:t>the participant</w:t>
      </w:r>
      <w:r w:rsidRPr="00103378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the search</w:t>
      </w:r>
      <w:r w:rsidRPr="00103378">
        <w:rPr>
          <w:rFonts w:ascii="Arial" w:hAnsi="Arial" w:cs="Arial"/>
        </w:rPr>
        <w:t xml:space="preserve"> to identify the individual specific lot of secondary market securities to trade wherein </w:t>
      </w:r>
      <w:r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criteria are available for later retrieval by </w:t>
      </w:r>
      <w:r>
        <w:rPr>
          <w:rFonts w:ascii="Arial" w:hAnsi="Arial" w:cs="Arial"/>
        </w:rPr>
        <w:t>the participant.</w:t>
      </w:r>
    </w:p>
    <w:p w:rsidR="00FA7400" w:rsidRPr="00103378" w:rsidRDefault="00FA7400" w:rsidP="002D4D2A">
      <w:pPr>
        <w:pStyle w:val="ListParagraph"/>
        <w:spacing w:line="360" w:lineRule="auto"/>
        <w:rPr>
          <w:rFonts w:ascii="Arial" w:hAnsi="Arial" w:cs="Arial"/>
        </w:rPr>
      </w:pPr>
    </w:p>
    <w:p w:rsidR="00FA7400" w:rsidRPr="00103378" w:rsidRDefault="00FA7400" w:rsidP="002D4D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38, further comprising: 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updating and inserting the individual specific lots of secondary market securities for which a bid is desired by </w:t>
      </w:r>
      <w:r>
        <w:rPr>
          <w:rFonts w:ascii="Arial" w:hAnsi="Arial" w:cs="Arial"/>
        </w:rPr>
        <w:t xml:space="preserve">the </w:t>
      </w:r>
      <w:r w:rsidRPr="00103378">
        <w:rPr>
          <w:rFonts w:ascii="Arial" w:hAnsi="Arial" w:cs="Arial"/>
        </w:rPr>
        <w:t xml:space="preserve">potential seller thereof of into said database through a direct connection between at least one of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plurality of client computers and at least one </w:t>
      </w:r>
      <w:r>
        <w:rPr>
          <w:rFonts w:ascii="Arial" w:hAnsi="Arial" w:cs="Arial"/>
        </w:rPr>
        <w:t xml:space="preserve">said </w:t>
      </w:r>
      <w:r w:rsidRPr="00103378">
        <w:rPr>
          <w:rFonts w:ascii="Arial" w:hAnsi="Arial" w:cs="Arial"/>
        </w:rPr>
        <w:t>host computer.</w:t>
      </w:r>
    </w:p>
    <w:p w:rsidR="00FA7400" w:rsidRPr="00103378" w:rsidRDefault="00FA7400" w:rsidP="002D4D2A">
      <w:pPr>
        <w:pStyle w:val="ListParagraph"/>
        <w:spacing w:line="360" w:lineRule="auto"/>
        <w:rPr>
          <w:rFonts w:ascii="Arial" w:hAnsi="Arial" w:cs="Arial"/>
        </w:rPr>
      </w:pPr>
    </w:p>
    <w:p w:rsidR="00FA7400" w:rsidRPr="00103378" w:rsidRDefault="00FA7400" w:rsidP="002D4D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38, further comprising: </w:t>
      </w:r>
    </w:p>
    <w:p w:rsidR="00FA7400" w:rsidRPr="00103378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lastRenderedPageBreak/>
        <w:t xml:space="preserve">updating and inserting bids for the individual specific lots of secondary market securities into said database through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direct connection between at least one of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plurality of client computers and at least one </w:t>
      </w:r>
      <w:r>
        <w:rPr>
          <w:rFonts w:ascii="Arial" w:hAnsi="Arial" w:cs="Arial"/>
        </w:rPr>
        <w:t xml:space="preserve">said </w:t>
      </w:r>
      <w:r w:rsidRPr="00103378">
        <w:rPr>
          <w:rFonts w:ascii="Arial" w:hAnsi="Arial" w:cs="Arial"/>
        </w:rPr>
        <w:t>host computer.</w:t>
      </w:r>
    </w:p>
    <w:p w:rsidR="00FA7400" w:rsidRPr="00103378" w:rsidRDefault="00FA7400" w:rsidP="002D4D2A">
      <w:pPr>
        <w:pStyle w:val="ListParagraph"/>
        <w:spacing w:line="360" w:lineRule="auto"/>
        <w:rPr>
          <w:rFonts w:ascii="Arial" w:hAnsi="Arial" w:cs="Arial"/>
        </w:rPr>
      </w:pPr>
    </w:p>
    <w:p w:rsidR="00FA7400" w:rsidRPr="00103378" w:rsidRDefault="00FA7400" w:rsidP="002D4D2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38, further comprising: </w:t>
      </w:r>
    </w:p>
    <w:p w:rsidR="00FA7400" w:rsidRPr="00FE53C1" w:rsidRDefault="00FA7400" w:rsidP="002D4D2A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updating and inserting </w:t>
      </w:r>
      <w:r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selling orders for executing </w:t>
      </w:r>
      <w:r>
        <w:rPr>
          <w:rFonts w:ascii="Arial" w:hAnsi="Arial" w:cs="Arial"/>
        </w:rPr>
        <w:t>the trade</w:t>
      </w:r>
      <w:r w:rsidRPr="00103378">
        <w:rPr>
          <w:rFonts w:ascii="Arial" w:hAnsi="Arial" w:cs="Arial"/>
        </w:rPr>
        <w:t xml:space="preserve"> of the individual specific lots of secondary market securities at </w:t>
      </w:r>
      <w:r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potential seller’s discretion into said database through </w:t>
      </w:r>
      <w:r>
        <w:rPr>
          <w:rFonts w:ascii="Arial" w:hAnsi="Arial" w:cs="Arial"/>
        </w:rPr>
        <w:t xml:space="preserve">said </w:t>
      </w:r>
      <w:r w:rsidRPr="00103378">
        <w:rPr>
          <w:rFonts w:ascii="Arial" w:hAnsi="Arial" w:cs="Arial"/>
        </w:rPr>
        <w:t xml:space="preserve">direct connection between at least one of </w:t>
      </w:r>
      <w:r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plurality of client computers and at least one </w:t>
      </w:r>
      <w:r>
        <w:rPr>
          <w:rFonts w:ascii="Arial" w:hAnsi="Arial" w:cs="Arial"/>
        </w:rPr>
        <w:t xml:space="preserve">said </w:t>
      </w:r>
      <w:r w:rsidRPr="00103378">
        <w:rPr>
          <w:rFonts w:ascii="Arial" w:hAnsi="Arial" w:cs="Arial"/>
        </w:rPr>
        <w:t>host computer.</w:t>
      </w:r>
    </w:p>
    <w:p w:rsidR="00FA7400" w:rsidRDefault="00FA7400" w:rsidP="002D4D2A">
      <w:pPr>
        <w:suppressAutoHyphens w:val="0"/>
        <w:spacing w:line="360" w:lineRule="auto"/>
        <w:rPr>
          <w:rFonts w:cs="Arial"/>
        </w:rPr>
      </w:pPr>
      <w:r>
        <w:rPr>
          <w:rFonts w:cs="Arial"/>
        </w:rPr>
        <w:br w:type="page"/>
      </w:r>
    </w:p>
    <w:p w:rsidR="00783F6D" w:rsidRDefault="00783F6D" w:rsidP="002D4D2A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The applicant would like to thank the examiner for </w:t>
      </w:r>
      <w:r w:rsidR="007C4D6E">
        <w:rPr>
          <w:rFonts w:cs="Arial"/>
        </w:rPr>
        <w:t xml:space="preserve">clear office action and the additional </w:t>
      </w:r>
      <w:r w:rsidR="00E26F89">
        <w:rPr>
          <w:rFonts w:cs="Arial"/>
        </w:rPr>
        <w:t xml:space="preserve">assistance he provided particularly in the formatting of the Claims </w:t>
      </w:r>
      <w:r w:rsidR="000F3D19">
        <w:rPr>
          <w:rFonts w:cs="Arial"/>
        </w:rPr>
        <w:t xml:space="preserve"> </w:t>
      </w:r>
      <w:r w:rsidR="00861857">
        <w:rPr>
          <w:rFonts w:cs="Arial"/>
        </w:rPr>
        <w:t xml:space="preserve">which has enabled the applicant to </w:t>
      </w:r>
      <w:r w:rsidR="007C4D6E">
        <w:rPr>
          <w:rFonts w:cs="Arial"/>
        </w:rPr>
        <w:t>correct errors and strengthen the validity of this application</w:t>
      </w:r>
      <w:r>
        <w:rPr>
          <w:rFonts w:cs="Arial"/>
        </w:rPr>
        <w:t>.</w:t>
      </w:r>
    </w:p>
    <w:p w:rsidR="00861857" w:rsidRDefault="00861857" w:rsidP="002D4D2A">
      <w:pPr>
        <w:spacing w:line="360" w:lineRule="auto"/>
        <w:rPr>
          <w:rFonts w:cs="Arial"/>
        </w:rPr>
      </w:pPr>
      <w:r>
        <w:rPr>
          <w:rFonts w:cs="Arial"/>
        </w:rPr>
        <w:t xml:space="preserve">Accordingly, applicant submits that this application is now in full condition for allowance, which the applicant respectfully solicits. </w:t>
      </w:r>
    </w:p>
    <w:p w:rsidR="00783F6D" w:rsidRDefault="00783F6D" w:rsidP="002D4D2A">
      <w:pPr>
        <w:spacing w:line="360" w:lineRule="auto"/>
        <w:rPr>
          <w:rFonts w:cs="Arial"/>
        </w:rPr>
      </w:pPr>
    </w:p>
    <w:p w:rsidR="00783F6D" w:rsidRDefault="00783F6D" w:rsidP="002D4D2A">
      <w:pPr>
        <w:spacing w:line="360" w:lineRule="auto"/>
        <w:rPr>
          <w:rFonts w:cs="Arial"/>
        </w:rPr>
      </w:pPr>
      <w:r>
        <w:rPr>
          <w:rFonts w:cs="Arial"/>
        </w:rPr>
        <w:t>Very respectfully,</w:t>
      </w:r>
    </w:p>
    <w:p w:rsidR="00783F6D" w:rsidRDefault="00D87F90" w:rsidP="002D4D2A">
      <w:pPr>
        <w:spacing w:line="360" w:lineRule="auto"/>
        <w:rPr>
          <w:rFonts w:cs="Arial"/>
        </w:rPr>
      </w:pPr>
      <w:r>
        <w:rPr>
          <w:rFonts w:cs="Arial"/>
        </w:rPr>
        <w:t>/Joseph J. Caldas/</w:t>
      </w:r>
      <w:bookmarkStart w:id="0" w:name="_GoBack"/>
      <w:bookmarkEnd w:id="0"/>
    </w:p>
    <w:p w:rsidR="00783F6D" w:rsidRDefault="00783F6D" w:rsidP="002D4D2A">
      <w:pPr>
        <w:spacing w:line="360" w:lineRule="auto"/>
        <w:rPr>
          <w:rFonts w:cs="Arial"/>
        </w:rPr>
      </w:pPr>
      <w:r>
        <w:rPr>
          <w:rFonts w:cs="Arial"/>
        </w:rPr>
        <w:t>Joseph J. Caldas</w:t>
      </w:r>
    </w:p>
    <w:p w:rsidR="00783F6D" w:rsidRDefault="00783F6D" w:rsidP="002D4D2A">
      <w:pPr>
        <w:spacing w:line="360" w:lineRule="auto"/>
        <w:rPr>
          <w:rFonts w:cs="Arial"/>
        </w:rPr>
      </w:pPr>
      <w:r>
        <w:rPr>
          <w:rFonts w:cs="Arial"/>
        </w:rPr>
        <w:t xml:space="preserve">84 Brook Drive </w:t>
      </w:r>
    </w:p>
    <w:p w:rsidR="00783F6D" w:rsidRDefault="00783F6D" w:rsidP="002D4D2A">
      <w:pPr>
        <w:spacing w:line="360" w:lineRule="auto"/>
        <w:rPr>
          <w:rFonts w:cs="Arial"/>
        </w:rPr>
      </w:pPr>
      <w:r>
        <w:rPr>
          <w:rFonts w:cs="Arial"/>
        </w:rPr>
        <w:t>Watchung, NJ 07069</w:t>
      </w:r>
    </w:p>
    <w:p w:rsidR="00783F6D" w:rsidRDefault="00FA7400" w:rsidP="002D4D2A">
      <w:pPr>
        <w:spacing w:line="360" w:lineRule="auto"/>
        <w:rPr>
          <w:rFonts w:cs="Arial"/>
        </w:rPr>
      </w:pPr>
      <w:r>
        <w:rPr>
          <w:rFonts w:cs="Arial"/>
        </w:rPr>
        <w:t>Office: 201-217-8080</w:t>
      </w:r>
    </w:p>
    <w:p w:rsidR="00783F6D" w:rsidRDefault="00783F6D" w:rsidP="002D4D2A">
      <w:pPr>
        <w:spacing w:line="360" w:lineRule="auto"/>
        <w:rPr>
          <w:rFonts w:cs="Arial"/>
        </w:rPr>
      </w:pPr>
      <w:r>
        <w:rPr>
          <w:rFonts w:cs="Arial"/>
        </w:rPr>
        <w:t>Cel</w:t>
      </w:r>
      <w:r w:rsidR="00FA7400">
        <w:rPr>
          <w:rFonts w:cs="Arial"/>
        </w:rPr>
        <w:t>l:</w:t>
      </w:r>
      <w:r>
        <w:rPr>
          <w:rFonts w:cs="Arial"/>
        </w:rPr>
        <w:t xml:space="preserve"> 201-724-5576</w:t>
      </w:r>
    </w:p>
    <w:p w:rsidR="00783F6D" w:rsidRDefault="00783F6D" w:rsidP="002D4D2A">
      <w:pPr>
        <w:spacing w:line="360" w:lineRule="auto"/>
        <w:rPr>
          <w:rFonts w:cs="Arial"/>
        </w:rPr>
      </w:pPr>
    </w:p>
    <w:p w:rsidR="00783F6D" w:rsidRDefault="00783F6D" w:rsidP="002D4D2A">
      <w:pPr>
        <w:spacing w:line="360" w:lineRule="auto"/>
      </w:pPr>
    </w:p>
    <w:p w:rsidR="00C905CA" w:rsidRDefault="00C905CA" w:rsidP="002D4D2A">
      <w:pPr>
        <w:spacing w:line="360" w:lineRule="auto"/>
      </w:pPr>
    </w:p>
    <w:p w:rsidR="002D4D2A" w:rsidRDefault="002D4D2A">
      <w:pPr>
        <w:spacing w:line="360" w:lineRule="auto"/>
      </w:pPr>
    </w:p>
    <w:sectPr w:rsidR="002D4D2A">
      <w:headerReference w:type="default" r:id="rId8"/>
      <w:footnotePr>
        <w:pos w:val="beneathText"/>
      </w:footnotePr>
      <w:pgSz w:w="12240" w:h="15840"/>
      <w:pgMar w:top="2347" w:right="1440" w:bottom="1440" w:left="1440" w:header="14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DE" w:rsidRDefault="008870DE">
      <w:pPr>
        <w:spacing w:line="240" w:lineRule="auto"/>
      </w:pPr>
      <w:r>
        <w:separator/>
      </w:r>
    </w:p>
  </w:endnote>
  <w:endnote w:type="continuationSeparator" w:id="0">
    <w:p w:rsidR="008870DE" w:rsidRDefault="00887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DE" w:rsidRDefault="008870DE">
      <w:pPr>
        <w:spacing w:line="240" w:lineRule="auto"/>
      </w:pPr>
      <w:r>
        <w:separator/>
      </w:r>
    </w:p>
  </w:footnote>
  <w:footnote w:type="continuationSeparator" w:id="0">
    <w:p w:rsidR="008870DE" w:rsidRDefault="00887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D" w:rsidRDefault="006614FC" w:rsidP="002D4D2A">
    <w:pPr>
      <w:pStyle w:val="Header"/>
      <w:spacing w:line="360" w:lineRule="auto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871EB8" wp14:editId="16B278F9">
              <wp:simplePos x="0" y="0"/>
              <wp:positionH relativeFrom="page">
                <wp:posOffset>5936615</wp:posOffset>
              </wp:positionH>
              <wp:positionV relativeFrom="paragraph">
                <wp:posOffset>635</wp:posOffset>
              </wp:positionV>
              <wp:extent cx="690880" cy="177800"/>
              <wp:effectExtent l="2540" t="635" r="1905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77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F6D" w:rsidRDefault="00783F6D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87F90"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7.45pt;margin-top:.05pt;width:54.4pt;height:1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" stroked="f">
              <v:fill opacity="0"/>
              <v:textbox inset="0,0,0,0">
                <w:txbxContent>
                  <w:p w:rsidR="00783F6D" w:rsidRDefault="00783F6D">
                    <w:pPr>
                      <w:pStyle w:val="Header"/>
                    </w:pPr>
                    <w:r>
                      <w:rPr>
                        <w:rStyle w:val="PageNumber"/>
                      </w:rPr>
                      <w:t xml:space="preserve">Page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87F90"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783F6D">
      <w:t>Application/Control Number: 11/</w:t>
    </w:r>
    <w:r w:rsidR="00534B34">
      <w:t>564,551 (</w:t>
    </w:r>
    <w:r w:rsidR="00783F6D">
      <w:t xml:space="preserve">Caldas, Joseph J.)    </w:t>
    </w:r>
    <w:r w:rsidR="00783F6D">
      <w:tab/>
    </w:r>
  </w:p>
  <w:p w:rsidR="006614FC" w:rsidRDefault="00783F6D" w:rsidP="002D4D2A">
    <w:pPr>
      <w:pStyle w:val="Header"/>
      <w:spacing w:line="360" w:lineRule="auto"/>
    </w:pPr>
    <w:r>
      <w:t>Art Unit: 369</w:t>
    </w:r>
    <w:r w:rsidR="006614FC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1500"/>
        </w:tabs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1500"/>
        </w:tabs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1500"/>
        </w:tabs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1500"/>
        </w:tabs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1500"/>
        </w:tabs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(%1)"/>
      <w:lvlJc w:val="left"/>
      <w:pPr>
        <w:tabs>
          <w:tab w:val="num" w:pos="1500"/>
        </w:tabs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(%1)"/>
      <w:lvlJc w:val="left"/>
      <w:pPr>
        <w:tabs>
          <w:tab w:val="num" w:pos="1500"/>
        </w:tabs>
      </w:pPr>
    </w:lvl>
  </w:abstractNum>
  <w:abstractNum w:abstractNumId="8">
    <w:nsid w:val="05A23D2A"/>
    <w:multiLevelType w:val="multilevel"/>
    <w:tmpl w:val="D98C7E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0CA84A69"/>
    <w:multiLevelType w:val="multilevel"/>
    <w:tmpl w:val="014867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531F88"/>
    <w:multiLevelType w:val="multilevel"/>
    <w:tmpl w:val="91445E80"/>
    <w:lvl w:ilvl="0">
      <w:start w:val="38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3CB78AE"/>
    <w:multiLevelType w:val="hybridMultilevel"/>
    <w:tmpl w:val="07688242"/>
    <w:lvl w:ilvl="0" w:tplc="92D20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F30CF9"/>
    <w:multiLevelType w:val="hybridMultilevel"/>
    <w:tmpl w:val="A1FEFFA0"/>
    <w:lvl w:ilvl="0" w:tplc="4B4E3F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B17EA9"/>
    <w:multiLevelType w:val="hybridMultilevel"/>
    <w:tmpl w:val="0AE43102"/>
    <w:lvl w:ilvl="0" w:tplc="1928549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02DE2"/>
    <w:multiLevelType w:val="hybridMultilevel"/>
    <w:tmpl w:val="8C749FBE"/>
    <w:lvl w:ilvl="0" w:tplc="595A2420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CD2602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D23576"/>
    <w:multiLevelType w:val="hybridMultilevel"/>
    <w:tmpl w:val="20DE6484"/>
    <w:lvl w:ilvl="0" w:tplc="1928549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B2357"/>
    <w:multiLevelType w:val="hybridMultilevel"/>
    <w:tmpl w:val="16FAEA0E"/>
    <w:lvl w:ilvl="0" w:tplc="2A4879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B5468AB"/>
    <w:multiLevelType w:val="hybridMultilevel"/>
    <w:tmpl w:val="89A057C2"/>
    <w:lvl w:ilvl="0" w:tplc="1928549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D32701"/>
    <w:multiLevelType w:val="hybridMultilevel"/>
    <w:tmpl w:val="F79A9084"/>
    <w:lvl w:ilvl="0" w:tplc="1928549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A9106EA"/>
    <w:multiLevelType w:val="hybridMultilevel"/>
    <w:tmpl w:val="E2F0CE20"/>
    <w:lvl w:ilvl="0" w:tplc="1928549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BFC6DE2"/>
    <w:multiLevelType w:val="hybridMultilevel"/>
    <w:tmpl w:val="98266560"/>
    <w:lvl w:ilvl="0" w:tplc="595A2420">
      <w:start w:val="3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2950A5F"/>
    <w:multiLevelType w:val="hybridMultilevel"/>
    <w:tmpl w:val="1C068E22"/>
    <w:lvl w:ilvl="0" w:tplc="1928549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BC58C6"/>
    <w:multiLevelType w:val="hybridMultilevel"/>
    <w:tmpl w:val="D442A486"/>
    <w:lvl w:ilvl="0" w:tplc="1928549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5993F82"/>
    <w:multiLevelType w:val="hybridMultilevel"/>
    <w:tmpl w:val="23247A04"/>
    <w:lvl w:ilvl="0" w:tplc="1928549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E61728"/>
    <w:multiLevelType w:val="hybridMultilevel"/>
    <w:tmpl w:val="1012F3FC"/>
    <w:lvl w:ilvl="0" w:tplc="DC9CD1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FD69D5"/>
    <w:multiLevelType w:val="hybridMultilevel"/>
    <w:tmpl w:val="96B070C0"/>
    <w:lvl w:ilvl="0" w:tplc="1928549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743B41"/>
    <w:multiLevelType w:val="hybridMultilevel"/>
    <w:tmpl w:val="BD46C850"/>
    <w:lvl w:ilvl="0" w:tplc="1928549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FBB17AD"/>
    <w:multiLevelType w:val="hybridMultilevel"/>
    <w:tmpl w:val="6E96D9BC"/>
    <w:lvl w:ilvl="0" w:tplc="1928549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6A7501"/>
    <w:multiLevelType w:val="hybridMultilevel"/>
    <w:tmpl w:val="D98C7EE0"/>
    <w:lvl w:ilvl="0" w:tplc="7910FC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5"/>
  </w:num>
  <w:num w:numId="10">
    <w:abstractNumId w:val="26"/>
  </w:num>
  <w:num w:numId="11">
    <w:abstractNumId w:val="17"/>
  </w:num>
  <w:num w:numId="12">
    <w:abstractNumId w:val="27"/>
  </w:num>
  <w:num w:numId="13">
    <w:abstractNumId w:val="23"/>
  </w:num>
  <w:num w:numId="14">
    <w:abstractNumId w:val="15"/>
  </w:num>
  <w:num w:numId="15">
    <w:abstractNumId w:val="21"/>
  </w:num>
  <w:num w:numId="16">
    <w:abstractNumId w:val="13"/>
  </w:num>
  <w:num w:numId="17">
    <w:abstractNumId w:val="22"/>
  </w:num>
  <w:num w:numId="18">
    <w:abstractNumId w:val="19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16"/>
  </w:num>
  <w:num w:numId="24">
    <w:abstractNumId w:val="24"/>
  </w:num>
  <w:num w:numId="25">
    <w:abstractNumId w:val="11"/>
  </w:num>
  <w:num w:numId="26">
    <w:abstractNumId w:val="9"/>
  </w:num>
  <w:num w:numId="27">
    <w:abstractNumId w:val="8"/>
  </w:num>
  <w:num w:numId="28">
    <w:abstractNumId w:val="1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91"/>
    <w:rsid w:val="000C4F42"/>
    <w:rsid w:val="000E401C"/>
    <w:rsid w:val="000F3D19"/>
    <w:rsid w:val="001B1FFE"/>
    <w:rsid w:val="001F6708"/>
    <w:rsid w:val="0021049B"/>
    <w:rsid w:val="00215484"/>
    <w:rsid w:val="0023646B"/>
    <w:rsid w:val="002D4D2A"/>
    <w:rsid w:val="002F55FF"/>
    <w:rsid w:val="00316B89"/>
    <w:rsid w:val="003B5C17"/>
    <w:rsid w:val="003C5D1C"/>
    <w:rsid w:val="00433D72"/>
    <w:rsid w:val="00456D3E"/>
    <w:rsid w:val="00471C24"/>
    <w:rsid w:val="0049355B"/>
    <w:rsid w:val="004B2172"/>
    <w:rsid w:val="00524599"/>
    <w:rsid w:val="00534B34"/>
    <w:rsid w:val="0053672D"/>
    <w:rsid w:val="00560471"/>
    <w:rsid w:val="00585146"/>
    <w:rsid w:val="005B669F"/>
    <w:rsid w:val="005E501C"/>
    <w:rsid w:val="006368F4"/>
    <w:rsid w:val="00643A39"/>
    <w:rsid w:val="006614FC"/>
    <w:rsid w:val="006A74B6"/>
    <w:rsid w:val="006D0019"/>
    <w:rsid w:val="006D2261"/>
    <w:rsid w:val="00721BA3"/>
    <w:rsid w:val="00783F6D"/>
    <w:rsid w:val="007B2BF1"/>
    <w:rsid w:val="007C4D6E"/>
    <w:rsid w:val="007E5B78"/>
    <w:rsid w:val="00826458"/>
    <w:rsid w:val="0083426C"/>
    <w:rsid w:val="00844332"/>
    <w:rsid w:val="00861857"/>
    <w:rsid w:val="008870DE"/>
    <w:rsid w:val="00933613"/>
    <w:rsid w:val="009B3CDA"/>
    <w:rsid w:val="009B7207"/>
    <w:rsid w:val="00A306B6"/>
    <w:rsid w:val="00A70F17"/>
    <w:rsid w:val="00AC4276"/>
    <w:rsid w:val="00C626A9"/>
    <w:rsid w:val="00C73F83"/>
    <w:rsid w:val="00C7594B"/>
    <w:rsid w:val="00C905CA"/>
    <w:rsid w:val="00D200BB"/>
    <w:rsid w:val="00D87F90"/>
    <w:rsid w:val="00DA3E73"/>
    <w:rsid w:val="00DB4FFA"/>
    <w:rsid w:val="00DD48DB"/>
    <w:rsid w:val="00DF0FCA"/>
    <w:rsid w:val="00E26F89"/>
    <w:rsid w:val="00E33B3B"/>
    <w:rsid w:val="00F44CBE"/>
    <w:rsid w:val="00F65754"/>
    <w:rsid w:val="00F91E99"/>
    <w:rsid w:val="00FA4ECF"/>
    <w:rsid w:val="00FA7400"/>
    <w:rsid w:val="00FE3191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480" w:lineRule="auto"/>
    </w:pPr>
    <w:rPr>
      <w:rFonts w:ascii="Arial" w:hAnsi="Arial"/>
      <w:color w:val="000000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cs="Arial"/>
      <w:i/>
      <w:i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uppressAutoHyphens w:val="0"/>
      <w:autoSpaceDE w:val="0"/>
      <w:autoSpaceDN w:val="0"/>
      <w:adjustRightInd w:val="0"/>
      <w:outlineLvl w:val="4"/>
    </w:pPr>
    <w:rPr>
      <w:rFonts w:cs="Arial"/>
      <w:color w:val="auto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  <w:semiHidden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Pr>
      <w:rFonts w:cs="Arial"/>
      <w:i/>
      <w:iCs/>
      <w:color w:val="FF000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2">
    <w:name w:val="Body Text 2"/>
    <w:basedOn w:val="Normal"/>
    <w:pPr>
      <w:spacing w:line="360" w:lineRule="auto"/>
    </w:pPr>
    <w:rPr>
      <w:rFonts w:cs="Arial"/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cs="Arial"/>
    </w:rPr>
  </w:style>
  <w:style w:type="paragraph" w:styleId="BodyTextIndent2">
    <w:name w:val="Body Text Indent 2"/>
    <w:basedOn w:val="Normal"/>
    <w:pPr>
      <w:spacing w:line="360" w:lineRule="auto"/>
      <w:ind w:firstLine="720"/>
    </w:pPr>
    <w:rPr>
      <w:rFonts w:cs="Arial"/>
      <w:i/>
      <w:iCs/>
      <w:color w:val="FF0000"/>
    </w:rPr>
  </w:style>
  <w:style w:type="paragraph" w:styleId="BodyText3">
    <w:name w:val="Body Text 3"/>
    <w:basedOn w:val="Normal"/>
    <w:pPr>
      <w:spacing w:line="360" w:lineRule="auto"/>
    </w:pPr>
    <w:rPr>
      <w:rFonts w:cs="Arial"/>
    </w:rPr>
  </w:style>
  <w:style w:type="paragraph" w:customStyle="1" w:styleId="Framecontents">
    <w:name w:val="Frame contents"/>
    <w:basedOn w:val="BodyText"/>
  </w:style>
  <w:style w:type="paragraph" w:styleId="BodyTextIndent3">
    <w:name w:val="Body Text Indent 3"/>
    <w:basedOn w:val="Normal"/>
    <w:pPr>
      <w:ind w:left="720"/>
    </w:pPr>
  </w:style>
  <w:style w:type="character" w:styleId="Hyperlink">
    <w:name w:val="Hyperlink"/>
    <w:basedOn w:val="DefaultParagraphFont"/>
    <w:rPr>
      <w:color w:val="2200CC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A7400"/>
    <w:pPr>
      <w:suppressAutoHyphens w:val="0"/>
      <w:spacing w:line="240" w:lineRule="auto"/>
      <w:ind w:left="720"/>
      <w:contextualSpacing/>
    </w:pPr>
    <w:rPr>
      <w:rFonts w:ascii="Times New Roman" w:eastAsiaTheme="minorHAnsi" w:hAnsi="Times New Roman"/>
      <w:color w:val="auto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480" w:lineRule="auto"/>
    </w:pPr>
    <w:rPr>
      <w:rFonts w:ascii="Arial" w:hAnsi="Arial"/>
      <w:color w:val="000000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cs="Arial"/>
      <w:i/>
      <w:i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uppressAutoHyphens w:val="0"/>
      <w:autoSpaceDE w:val="0"/>
      <w:autoSpaceDN w:val="0"/>
      <w:adjustRightInd w:val="0"/>
      <w:outlineLvl w:val="4"/>
    </w:pPr>
    <w:rPr>
      <w:rFonts w:cs="Arial"/>
      <w:color w:val="auto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  <w:semiHidden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Pr>
      <w:rFonts w:cs="Arial"/>
      <w:i/>
      <w:iCs/>
      <w:color w:val="FF000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2">
    <w:name w:val="Body Text 2"/>
    <w:basedOn w:val="Normal"/>
    <w:pPr>
      <w:spacing w:line="360" w:lineRule="auto"/>
    </w:pPr>
    <w:rPr>
      <w:rFonts w:cs="Arial"/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360" w:lineRule="auto"/>
      <w:ind w:firstLine="720"/>
    </w:pPr>
    <w:rPr>
      <w:rFonts w:cs="Arial"/>
    </w:rPr>
  </w:style>
  <w:style w:type="paragraph" w:styleId="BodyTextIndent2">
    <w:name w:val="Body Text Indent 2"/>
    <w:basedOn w:val="Normal"/>
    <w:pPr>
      <w:spacing w:line="360" w:lineRule="auto"/>
      <w:ind w:firstLine="720"/>
    </w:pPr>
    <w:rPr>
      <w:rFonts w:cs="Arial"/>
      <w:i/>
      <w:iCs/>
      <w:color w:val="FF0000"/>
    </w:rPr>
  </w:style>
  <w:style w:type="paragraph" w:styleId="BodyText3">
    <w:name w:val="Body Text 3"/>
    <w:basedOn w:val="Normal"/>
    <w:pPr>
      <w:spacing w:line="360" w:lineRule="auto"/>
    </w:pPr>
    <w:rPr>
      <w:rFonts w:cs="Arial"/>
    </w:rPr>
  </w:style>
  <w:style w:type="paragraph" w:customStyle="1" w:styleId="Framecontents">
    <w:name w:val="Frame contents"/>
    <w:basedOn w:val="BodyText"/>
  </w:style>
  <w:style w:type="paragraph" w:styleId="BodyTextIndent3">
    <w:name w:val="Body Text Indent 3"/>
    <w:basedOn w:val="Normal"/>
    <w:pPr>
      <w:ind w:left="720"/>
    </w:pPr>
  </w:style>
  <w:style w:type="character" w:styleId="Hyperlink">
    <w:name w:val="Hyperlink"/>
    <w:basedOn w:val="DefaultParagraphFont"/>
    <w:rPr>
      <w:color w:val="2200CC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A7400"/>
    <w:pPr>
      <w:suppressAutoHyphens w:val="0"/>
      <w:spacing w:line="240" w:lineRule="auto"/>
      <w:ind w:left="720"/>
      <w:contextualSpacing/>
    </w:pPr>
    <w:rPr>
      <w:rFonts w:ascii="Times New Roman" w:eastAsiaTheme="minorHAnsi" w:hAnsi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7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 CLAIM AS MY INVENTION IS:</vt:lpstr>
    </vt:vector>
  </TitlesOfParts>
  <Company>Hartfield, Titus, &amp; Donnelly, LLCc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CLAIM AS MY INVENTION IS:</dc:title>
  <dc:creator>Jay Caldas</dc:creator>
  <cp:lastModifiedBy>Jay</cp:lastModifiedBy>
  <cp:revision>7</cp:revision>
  <cp:lastPrinted>2009-08-19T04:31:00Z</cp:lastPrinted>
  <dcterms:created xsi:type="dcterms:W3CDTF">2013-10-07T15:31:00Z</dcterms:created>
  <dcterms:modified xsi:type="dcterms:W3CDTF">2013-10-07T21:27:00Z</dcterms:modified>
</cp:coreProperties>
</file>